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C4" w:rsidRDefault="00B33AC4" w:rsidP="00B33AC4">
      <w:pPr>
        <w:rPr>
          <w:rFonts w:ascii="Times New Roman" w:hAnsi="Times New Roman"/>
          <w:b/>
          <w:color w:val="auto"/>
          <w:sz w:val="28"/>
          <w:szCs w:val="28"/>
        </w:rPr>
      </w:pPr>
      <w:r>
        <w:rPr>
          <w:rFonts w:ascii="Times New Roman" w:hAnsi="Times New Roman"/>
          <w:b/>
          <w:color w:val="auto"/>
          <w:sz w:val="28"/>
          <w:szCs w:val="28"/>
        </w:rPr>
        <w:t xml:space="preserve">                                 BÀI PHÁT BIỂU CỦA LÃNH ĐẠO BỘ Y TẾ </w:t>
      </w:r>
    </w:p>
    <w:p w:rsidR="00B33AC4" w:rsidRDefault="00B33AC4" w:rsidP="00B33AC4">
      <w:pPr>
        <w:jc w:val="center"/>
        <w:rPr>
          <w:rFonts w:ascii="Times New Roman" w:hAnsi="Times New Roman"/>
          <w:b/>
          <w:color w:val="auto"/>
          <w:sz w:val="28"/>
          <w:szCs w:val="28"/>
        </w:rPr>
      </w:pPr>
      <w:r>
        <w:rPr>
          <w:rFonts w:ascii="Times New Roman" w:hAnsi="Times New Roman"/>
          <w:b/>
          <w:color w:val="auto"/>
          <w:sz w:val="28"/>
          <w:szCs w:val="28"/>
        </w:rPr>
        <w:t xml:space="preserve">Tại </w:t>
      </w:r>
    </w:p>
    <w:p w:rsidR="00B33AC4" w:rsidRDefault="00B33AC4" w:rsidP="00B33AC4">
      <w:pPr>
        <w:jc w:val="center"/>
        <w:rPr>
          <w:rFonts w:ascii="Times New Roman" w:hAnsi="Times New Roman"/>
          <w:b/>
          <w:color w:val="auto"/>
          <w:sz w:val="24"/>
          <w:szCs w:val="24"/>
        </w:rPr>
      </w:pPr>
      <w:r>
        <w:rPr>
          <w:rFonts w:ascii="Times New Roman" w:hAnsi="Times New Roman"/>
          <w:b/>
          <w:color w:val="auto"/>
          <w:sz w:val="24"/>
          <w:szCs w:val="24"/>
        </w:rPr>
        <w:t>LẾ MÍT TINH TRUYỀN THÔNG VỀ PHÒNG, CHỐNG KHÁNG THUỐC NĂM 2016</w:t>
      </w:r>
    </w:p>
    <w:p w:rsidR="00B33AC4" w:rsidRDefault="00B33AC4" w:rsidP="00B33AC4">
      <w:pPr>
        <w:jc w:val="center"/>
        <w:rPr>
          <w:rFonts w:ascii="Times New Roman" w:hAnsi="Times New Roman"/>
          <w:b/>
          <w:i/>
          <w:color w:val="auto"/>
          <w:sz w:val="24"/>
          <w:szCs w:val="24"/>
        </w:rPr>
      </w:pPr>
      <w:r>
        <w:rPr>
          <w:rFonts w:ascii="Times New Roman" w:hAnsi="Times New Roman"/>
          <w:b/>
          <w:i/>
          <w:color w:val="auto"/>
          <w:sz w:val="24"/>
          <w:szCs w:val="24"/>
        </w:rPr>
        <w:t xml:space="preserve">(Giữa Bộ Y tế, Bộ Nông nghiệp và Phát triển nông thôn, Bộ Tài nguyên và Môi trường, Tổ chức Y tế thế giới – WHO, tổ chức Nông Lương Liên hiệp quốc - FAO)  </w:t>
      </w:r>
    </w:p>
    <w:p w:rsidR="00B33AC4" w:rsidRDefault="00B33AC4" w:rsidP="00B33AC4">
      <w:pPr>
        <w:jc w:val="center"/>
        <w:rPr>
          <w:rFonts w:ascii="Times New Roman" w:hAnsi="Times New Roman"/>
          <w:b/>
          <w:color w:val="auto"/>
          <w:sz w:val="32"/>
          <w:szCs w:val="32"/>
        </w:rPr>
      </w:pPr>
      <w:r>
        <w:rPr>
          <w:rFonts w:ascii="Times New Roman" w:hAnsi="Times New Roman"/>
          <w:b/>
          <w:color w:val="auto"/>
          <w:sz w:val="24"/>
          <w:szCs w:val="24"/>
        </w:rPr>
        <w:t xml:space="preserve"> (Hà Nội, 30/11/2016)</w:t>
      </w:r>
    </w:p>
    <w:p w:rsidR="00B33AC4" w:rsidRDefault="00B33AC4" w:rsidP="00B33AC4">
      <w:pPr>
        <w:pStyle w:val="Title"/>
        <w:jc w:val="both"/>
        <w:rPr>
          <w:rFonts w:ascii="Times New Roman" w:hAnsi="Times New Roman"/>
          <w:color w:val="auto"/>
          <w:sz w:val="28"/>
          <w:szCs w:val="28"/>
          <w:lang w:val="en-US"/>
        </w:rPr>
      </w:pPr>
      <w:r>
        <w:rPr>
          <w:rFonts w:ascii="Times New Roman" w:hAnsi="Times New Roman"/>
          <w:color w:val="auto"/>
          <w:sz w:val="28"/>
          <w:szCs w:val="28"/>
        </w:rPr>
        <w:t>Kính thưa</w:t>
      </w:r>
      <w:r>
        <w:rPr>
          <w:rFonts w:ascii="Times New Roman" w:hAnsi="Times New Roman"/>
          <w:color w:val="auto"/>
          <w:sz w:val="28"/>
          <w:szCs w:val="28"/>
          <w:lang w:val="en-US"/>
        </w:rPr>
        <w:t>:</w:t>
      </w:r>
    </w:p>
    <w:p w:rsidR="00B33AC4" w:rsidRDefault="00B33AC4" w:rsidP="00B33AC4">
      <w:pPr>
        <w:ind w:left="1080" w:firstLine="360"/>
        <w:rPr>
          <w:rFonts w:ascii="Times New Roman" w:hAnsi="Times New Roman"/>
          <w:sz w:val="24"/>
          <w:szCs w:val="24"/>
          <w:lang w:eastAsia="x-none"/>
        </w:rPr>
      </w:pPr>
      <w:r>
        <w:rPr>
          <w:rFonts w:ascii="Times New Roman" w:hAnsi="Times New Roman"/>
          <w:sz w:val="24"/>
          <w:szCs w:val="24"/>
          <w:lang w:eastAsia="x-none"/>
        </w:rPr>
        <w:t xml:space="preserve">- Ông Locky </w:t>
      </w:r>
      <w:r>
        <w:rPr>
          <w:rFonts w:ascii="Times New Roman" w:hAnsi="Times New Roman"/>
          <w:sz w:val="24"/>
          <w:szCs w:val="24"/>
          <w:lang w:val="vi-VN" w:eastAsia="x-none"/>
        </w:rPr>
        <w:t>W</w:t>
      </w:r>
      <w:r>
        <w:rPr>
          <w:rFonts w:ascii="Times New Roman" w:hAnsi="Times New Roman"/>
          <w:sz w:val="24"/>
          <w:szCs w:val="24"/>
          <w:lang w:eastAsia="x-none"/>
        </w:rPr>
        <w:t>ai Trưởng Đại diện Tổ chức y tế thế giới tại Việt Nam</w:t>
      </w:r>
    </w:p>
    <w:p w:rsidR="00B33AC4" w:rsidRDefault="00B33AC4" w:rsidP="00B33AC4">
      <w:pPr>
        <w:ind w:left="1080" w:firstLine="360"/>
        <w:rPr>
          <w:rFonts w:ascii="Times New Roman" w:hAnsi="Times New Roman"/>
          <w:sz w:val="24"/>
          <w:szCs w:val="24"/>
          <w:lang w:eastAsia="x-none"/>
        </w:rPr>
      </w:pPr>
      <w:r>
        <w:rPr>
          <w:rFonts w:ascii="Times New Roman" w:hAnsi="Times New Roman"/>
          <w:sz w:val="24"/>
          <w:szCs w:val="24"/>
          <w:lang w:eastAsia="x-none"/>
        </w:rPr>
        <w:t>- Ông Nguyễn Văn Quý, Phó Chủ tịch UBND Thành phố Hà Nội</w:t>
      </w:r>
    </w:p>
    <w:p w:rsidR="00B33AC4" w:rsidRDefault="00B33AC4" w:rsidP="00B33AC4">
      <w:pPr>
        <w:ind w:left="1080" w:firstLine="360"/>
        <w:rPr>
          <w:rFonts w:ascii="Times New Roman" w:hAnsi="Times New Roman"/>
          <w:sz w:val="24"/>
          <w:szCs w:val="24"/>
          <w:lang w:eastAsia="x-none"/>
        </w:rPr>
      </w:pPr>
      <w:r>
        <w:rPr>
          <w:rFonts w:ascii="Times New Roman" w:hAnsi="Times New Roman"/>
          <w:sz w:val="24"/>
          <w:szCs w:val="24"/>
          <w:lang w:eastAsia="x-none"/>
        </w:rPr>
        <w:t>- Các đồng chí lãnh đạo Bộ, Ban ngành Trung ương và địa phương</w:t>
      </w:r>
    </w:p>
    <w:p w:rsidR="00B33AC4" w:rsidRDefault="00B33AC4" w:rsidP="00B33AC4">
      <w:pPr>
        <w:pStyle w:val="Title"/>
        <w:jc w:val="both"/>
        <w:rPr>
          <w:rFonts w:ascii="Times New Roman" w:hAnsi="Times New Roman"/>
          <w:color w:val="auto"/>
          <w:sz w:val="28"/>
          <w:szCs w:val="28"/>
        </w:rPr>
      </w:pPr>
      <w:r>
        <w:rPr>
          <w:rFonts w:ascii="Times New Roman" w:hAnsi="Times New Roman"/>
          <w:color w:val="auto"/>
          <w:sz w:val="28"/>
          <w:szCs w:val="28"/>
          <w:lang w:val="en-US"/>
        </w:rPr>
        <w:t>Kính thưa các quý vị đại biểu,</w:t>
      </w:r>
      <w:r>
        <w:rPr>
          <w:rFonts w:ascii="Times New Roman" w:hAnsi="Times New Roman"/>
          <w:color w:val="auto"/>
          <w:sz w:val="28"/>
          <w:szCs w:val="28"/>
        </w:rPr>
        <w:t>khách quý trong nước và quốc tế!</w:t>
      </w:r>
    </w:p>
    <w:p w:rsidR="00B33AC4" w:rsidRDefault="00B33AC4" w:rsidP="00B33AC4">
      <w:pPr>
        <w:pStyle w:val="BodyText"/>
        <w:spacing w:before="12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 xml:space="preserve">Hôm nay, Bộ Y tế, Bộ Nông nghiệp và Phát triển Nông thôn, Bộ Công thương, Bộ tài nguyên và môi trường, UBND Thành phố Hà Nội và Tổ chức Y tế thế giới, các tổ chức quốc tế, các đối tác phát triển có mặt tại đây để cùng nhau tổ chức mít tinh hưởng ứng tuần lễ truyền thông về phòng, chống kháng thuốc do WHO phát động trên toàn thế giới vào tháng 11 hằng năm.   </w:t>
      </w:r>
    </w:p>
    <w:p w:rsidR="00B33AC4" w:rsidRDefault="00B33AC4" w:rsidP="00B33AC4">
      <w:pPr>
        <w:pStyle w:val="BodyText"/>
        <w:spacing w:before="12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Thay mặt Lãnh đạo Bộ Y tế, tôi nhiệt liệt chào mừng các đồng chí Lãnh đạo các Bộ, Ban ngành Trung ương, UBND Thành phố Hà Nội, đại diện các tổ chức quốc tế, các quý vị đại biểu đến tham dự Lễ mít tinh quan trọng này; kính chúc các đồng chí Lãnh đạo, các Quý vị đại biểu khách quý sức khỏe, hạnh phúc và chúc Lễ mít tinh của chúng ta thành công tốt đẹp.</w:t>
      </w:r>
    </w:p>
    <w:p w:rsidR="00B33AC4" w:rsidRDefault="00B33AC4" w:rsidP="00B33AC4">
      <w:pPr>
        <w:pStyle w:val="BodyText"/>
        <w:spacing w:before="12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 xml:space="preserve">Kính thưa Quý vị đại biểu, khách quý, </w:t>
      </w:r>
    </w:p>
    <w:p w:rsidR="00B33AC4" w:rsidRDefault="00B33AC4" w:rsidP="00B33AC4">
      <w:pPr>
        <w:pStyle w:val="BodyText"/>
        <w:spacing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 xml:space="preserve">Kháng sinh ra đời là bước ngoặt trong Y học để điều trị các bệnh nhiễm khuẩn. Kháng sinh không chỉ được sử dụng trong điều trị mà còn được sử dụng rộng rãi trong chăn nuôi gia súc, gia cầm và thủy sản nhằm mục đích trị bệnh và kích thích tăng trưởng. </w:t>
      </w:r>
    </w:p>
    <w:p w:rsidR="00B33AC4" w:rsidRDefault="00B33AC4" w:rsidP="00B33AC4">
      <w:pPr>
        <w:pStyle w:val="BodyText"/>
        <w:spacing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 xml:space="preserve">Việc sử dụng kháng sinh là hết sức cần thiết để điều trị bệnh cho con người cũng như cho vật nuôi. Tuy nhiên do việc sử dụng kháng sinh không hợp lý, lạm dụng kháng sinh, điều trị kháng sinh khi không cần thiết,… đã làm gia tăng tình trạng kháng thuốc kháng sinh của vi khuẩn gây bệnh. </w:t>
      </w:r>
    </w:p>
    <w:p w:rsidR="00B33AC4" w:rsidRDefault="00B33AC4" w:rsidP="00B33AC4">
      <w:pPr>
        <w:pStyle w:val="BodyText"/>
        <w:spacing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lastRenderedPageBreak/>
        <w:t xml:space="preserve">Việc đầu tư, nghiên cứu cho ra đời các kháng sinh mới đã giảm trong nhiều thập kỷ nay, dẫn đến sự thiếu hụt các kháng sinh có hiệu quả để điều trị các bệnh nhiễm khuẩn do vi khuẩn đa kháng. </w:t>
      </w:r>
    </w:p>
    <w:p w:rsidR="00B33AC4" w:rsidRDefault="00B33AC4" w:rsidP="00B33AC4">
      <w:pPr>
        <w:spacing w:after="120" w:line="276" w:lineRule="auto"/>
        <w:jc w:val="both"/>
        <w:rPr>
          <w:rFonts w:ascii="Times New Roman" w:hAnsi="Times New Roman"/>
          <w:color w:val="auto"/>
          <w:sz w:val="28"/>
          <w:szCs w:val="28"/>
        </w:rPr>
      </w:pPr>
      <w:r>
        <w:rPr>
          <w:rFonts w:ascii="Times New Roman" w:hAnsi="Times New Roman"/>
          <w:color w:val="auto"/>
          <w:sz w:val="28"/>
          <w:szCs w:val="28"/>
          <w:lang w:eastAsia="x-none"/>
        </w:rPr>
        <w:t>Kháng thuốc ngày nay không chỉ của riêng quốc gia nào mà là vấn đề y tế toàn cầu, đặc biệt nổi trội ở các nước đang phát triển</w:t>
      </w:r>
      <w:r>
        <w:rPr>
          <w:rFonts w:ascii="Times New Roman" w:hAnsi="Times New Roman"/>
          <w:color w:val="auto"/>
          <w:sz w:val="28"/>
          <w:szCs w:val="28"/>
        </w:rPr>
        <w:t xml:space="preserve">, thế giới mỗi năm có hàng chục ngàn người tử vong do kháng thuốc và phải chi phí hàng chục tỷ đô la cho kháng thuốc. </w:t>
      </w:r>
    </w:p>
    <w:p w:rsidR="00B33AC4" w:rsidRDefault="00B33AC4" w:rsidP="00B33AC4">
      <w:pPr>
        <w:spacing w:after="120" w:line="276" w:lineRule="auto"/>
        <w:jc w:val="both"/>
        <w:rPr>
          <w:rFonts w:ascii="Times New Roman" w:hAnsi="Times New Roman"/>
          <w:color w:val="auto"/>
          <w:sz w:val="28"/>
          <w:szCs w:val="28"/>
        </w:rPr>
      </w:pPr>
      <w:r>
        <w:rPr>
          <w:rFonts w:ascii="Times New Roman" w:hAnsi="Times New Roman"/>
          <w:color w:val="auto"/>
          <w:sz w:val="28"/>
          <w:szCs w:val="28"/>
        </w:rPr>
        <w:t>Theo báo cáo toàn cầu về kháng thuốc năm 2014 của Tổ chức Y tế thế giới được tổng hợp từ 114 quốc gia trên khắp các khu vực cho thấy: người bệnh phải nằm viện lâu hơn và tỷ lệ tử vong tăng lên ở tất cả các nhóm tuổi. Tại Châu Âu: số ngày nằm viện tăng 2,5 triệu ngày, tỷ lệ tử vong 25.000 người/năm, Thái Lan, tăng hơn 3,2 triệu ngày nằm viện và tử vong 38.000 người/năm, ở Mỹ khoảng 2 triệu người mắc bệnh nhiễm khuẩn và tử vong 23.000 người/năm.</w:t>
      </w:r>
    </w:p>
    <w:p w:rsidR="00B33AC4" w:rsidRDefault="00B33AC4" w:rsidP="00B33AC4">
      <w:pPr>
        <w:spacing w:after="120" w:line="276" w:lineRule="auto"/>
        <w:jc w:val="both"/>
        <w:rPr>
          <w:rFonts w:ascii="Times New Roman" w:hAnsi="Times New Roman"/>
          <w:color w:val="auto"/>
          <w:sz w:val="28"/>
          <w:szCs w:val="28"/>
        </w:rPr>
      </w:pPr>
      <w:r>
        <w:rPr>
          <w:rFonts w:ascii="Times New Roman" w:hAnsi="Times New Roman"/>
          <w:color w:val="auto"/>
          <w:sz w:val="28"/>
          <w:szCs w:val="28"/>
        </w:rPr>
        <w:t xml:space="preserve">Điều này tác động đến kinh tế, xã hội hết sức to lớn (ở Mỹ chi phí trực tiếp hơn 20 tỷ đô la/năm và chi phí gián tiếp hơn 30 tỷ đô la/năm) đặc biệt ở các nước nghèo, kém phát triển. </w:t>
      </w:r>
    </w:p>
    <w:p w:rsidR="00B33AC4" w:rsidRDefault="00B33AC4" w:rsidP="00B33AC4">
      <w:pPr>
        <w:pStyle w:val="BodyText"/>
        <w:spacing w:before="24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Kính thưa quý vị đại biểu!</w:t>
      </w:r>
    </w:p>
    <w:p w:rsidR="00B33AC4" w:rsidRDefault="00B33AC4" w:rsidP="00B33AC4">
      <w:pPr>
        <w:pStyle w:val="BodyText"/>
        <w:spacing w:before="240" w:line="276" w:lineRule="auto"/>
        <w:jc w:val="both"/>
        <w:rPr>
          <w:rFonts w:ascii="Times New Roman" w:hAnsi="Times New Roman"/>
          <w:color w:val="auto"/>
          <w:sz w:val="28"/>
          <w:szCs w:val="28"/>
        </w:rPr>
      </w:pPr>
      <w:r>
        <w:rPr>
          <w:rFonts w:ascii="Times New Roman" w:hAnsi="Times New Roman"/>
          <w:color w:val="auto"/>
          <w:sz w:val="28"/>
          <w:szCs w:val="28"/>
          <w:lang w:val="en-US"/>
        </w:rPr>
        <w:t xml:space="preserve">Kháng thuốc và xu hướng gia tăng kháng thuốc đã và </w:t>
      </w:r>
      <w:r>
        <w:rPr>
          <w:rFonts w:ascii="Times New Roman" w:hAnsi="Times New Roman"/>
          <w:color w:val="auto"/>
          <w:sz w:val="28"/>
          <w:szCs w:val="28"/>
          <w:shd w:val="clear" w:color="auto" w:fill="FFFFFF"/>
        </w:rPr>
        <w:t>đang trở thành một nguy cơ lớn cho toàn thể nhân loại</w:t>
      </w:r>
      <w:r>
        <w:rPr>
          <w:rFonts w:ascii="Times New Roman" w:hAnsi="Times New Roman"/>
          <w:color w:val="auto"/>
          <w:sz w:val="28"/>
          <w:szCs w:val="28"/>
          <w:lang w:val="en-US"/>
        </w:rPr>
        <w:t>:</w:t>
      </w:r>
      <w:r>
        <w:rPr>
          <w:rFonts w:ascii="Times New Roman" w:hAnsi="Times New Roman"/>
          <w:color w:val="auto"/>
          <w:sz w:val="28"/>
          <w:szCs w:val="28"/>
        </w:rPr>
        <w:t xml:space="preserve"> là mối hiểm họa nhiều mặt đối với sự sống còn của loài người, đối với sức khỏe cộng đồng, đối với kinh tế - thương mại và sự phát triển</w:t>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r>
      <w:r>
        <w:rPr>
          <w:rFonts w:ascii="Times New Roman" w:hAnsi="Times New Roman"/>
          <w:color w:val="auto"/>
          <w:sz w:val="28"/>
          <w:szCs w:val="28"/>
        </w:rPr>
        <w:softHyphen/>
        <w:t xml:space="preserve"> bền vững của mỗi quốc gia; làm giảm hiệu quả của các phương pháp điều trị kinh điển. </w:t>
      </w:r>
    </w:p>
    <w:p w:rsidR="00B33AC4" w:rsidRDefault="00B33AC4" w:rsidP="00B33AC4">
      <w:pPr>
        <w:spacing w:after="120" w:line="276" w:lineRule="auto"/>
        <w:jc w:val="both"/>
        <w:rPr>
          <w:rFonts w:ascii="Times New Roman" w:hAnsi="Times New Roman"/>
          <w:color w:val="auto"/>
          <w:sz w:val="28"/>
          <w:szCs w:val="28"/>
        </w:rPr>
      </w:pPr>
      <w:r>
        <w:rPr>
          <w:rFonts w:ascii="Times New Roman" w:hAnsi="Times New Roman"/>
          <w:color w:val="auto"/>
          <w:sz w:val="28"/>
          <w:szCs w:val="28"/>
        </w:rPr>
        <w:t>Kháng thuốc là hiểm họa ngày càng lớn đối với con người và nền kinh tế Việt Nam do việc sử dụng kháng sinh ngày càng gia tăng và thiếu kiểm soát trong y tế cũng như trong chăn nuôi và càng đáng báo động hơn khi nó xâm nhập vào chuỗi thức ăn và môi trường sinh thái của chúng ta;</w:t>
      </w:r>
    </w:p>
    <w:p w:rsidR="00B33AC4" w:rsidRDefault="00B33AC4" w:rsidP="00B33AC4">
      <w:pPr>
        <w:spacing w:line="276" w:lineRule="auto"/>
        <w:jc w:val="both"/>
        <w:rPr>
          <w:rFonts w:ascii="Times New Roman" w:hAnsi="Times New Roman"/>
          <w:color w:val="auto"/>
          <w:sz w:val="28"/>
          <w:szCs w:val="28"/>
        </w:rPr>
      </w:pPr>
      <w:r>
        <w:rPr>
          <w:rFonts w:ascii="Times New Roman" w:hAnsi="Times New Roman"/>
          <w:color w:val="auto"/>
          <w:sz w:val="28"/>
          <w:szCs w:val="28"/>
        </w:rPr>
        <w:t>Việt Nam đã hưởng ứng lời kêu gọi của Tổ chức Y tế thế giới “Không hành động hôm nay, ngày mai không thuốc chữa” và là một trong số các nước đi đầu trong việc xây dựng Kế hoạch hành động quốc gia về chống kháng thuốc giai đoạn từ năm 2013 đến năm 2020 (Quyết định số 2174/QĐ-BYT ngày 21/6/2013), với mục tiêu đẩy mạnh các hoạt động phòng, chống kháng thuốc, nâng cao chất lượng, hiệu quả của công tác phòng, chống dịch bệnh, khám chữa bệnh góp phần vào sự nghiệp chăm sóc, bảo vệ và nâng cao sức khỏe nhân dân.</w:t>
      </w:r>
    </w:p>
    <w:p w:rsidR="00B33AC4" w:rsidRDefault="00B33AC4" w:rsidP="00B33AC4">
      <w:pPr>
        <w:pStyle w:val="BodyText"/>
        <w:spacing w:before="24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lastRenderedPageBreak/>
        <w:t xml:space="preserve">Kế hoạch phòng chống kháng thuốc là Kế hoạch liên ngành, đòi hỏi sự nỗ lực và cam kết thực hiện của tất cả các Bộ/ngành, các cấp từ trung ương đến địa phương cùng vào cuộc để ngăn chặn tình trạng kháng thuốc chứ không chỉ riêng của ngành y tế. </w:t>
      </w:r>
    </w:p>
    <w:p w:rsidR="00B33AC4" w:rsidRDefault="00B33AC4" w:rsidP="00B33AC4">
      <w:pPr>
        <w:pStyle w:val="BodyText"/>
        <w:spacing w:before="24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 xml:space="preserve">Vì vậy, tháng 6/2015, Bộ Y tế đã cùng Bộ Nông nghiệp và Phát triển nông thôn, Bộ Công thương, Bộ Tài nguyên và Môi trường cùng các đối tác phát triên ký kết Văn bản thỏa thuận cam kết đa ngành về phòng, chống kháng thuốc. </w:t>
      </w:r>
    </w:p>
    <w:p w:rsidR="00B33AC4" w:rsidRDefault="00B33AC4" w:rsidP="00B33AC4">
      <w:pPr>
        <w:pStyle w:val="BodyText"/>
        <w:spacing w:before="24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 xml:space="preserve">Để triển khai Văn bản thỏa thuận này, Bộ Y tế đã làm đầu mối thành lập Ban Chỉ đạo Quốc gia về phòng, chống kháng thuốc (Quyết định số 5888/QĐ-BYT ngày 10/10/2016) và thành lập 9 tiểu ban giám giát kháng thuốc; thiết lập mạng lưới giám sát vi khuẩn kháng thuốc trong các cơ sở khám, chữa bệnh (Quyết định số 6211/QĐ-BYT ngày 17/10/2016), Kế hoạch hành động quốc gia về kiểm soát nhiểm khuẩn giai đoạn 2016-2020, hướng dẫn quản lý sử dụng kháng sinh trong các cơ sở khám, chữa bệnh (QĐ số 772/QĐ-BYT ngày 04/3/2016).  </w:t>
      </w:r>
    </w:p>
    <w:p w:rsidR="00B33AC4" w:rsidRDefault="00B33AC4" w:rsidP="00B33AC4">
      <w:pPr>
        <w:spacing w:after="120" w:line="276" w:lineRule="auto"/>
        <w:jc w:val="both"/>
        <w:rPr>
          <w:rFonts w:ascii="Times New Roman" w:hAnsi="Times New Roman"/>
          <w:color w:val="auto"/>
          <w:sz w:val="28"/>
          <w:szCs w:val="28"/>
        </w:rPr>
      </w:pPr>
      <w:r>
        <w:rPr>
          <w:rFonts w:ascii="Times New Roman" w:hAnsi="Times New Roman"/>
          <w:color w:val="auto"/>
          <w:sz w:val="28"/>
          <w:szCs w:val="28"/>
        </w:rPr>
        <w:t xml:space="preserve">Năm 2015, Đại hội đồng Y tế Thế giới lần thứ 68 đã thông qua </w:t>
      </w:r>
      <w:r>
        <w:rPr>
          <w:rFonts w:ascii="Times New Roman" w:hAnsi="Times New Roman"/>
          <w:color w:val="auto"/>
          <w:sz w:val="28"/>
          <w:szCs w:val="28"/>
          <w:lang w:eastAsia="ja-JP"/>
        </w:rPr>
        <w:t>K</w:t>
      </w:r>
      <w:r>
        <w:rPr>
          <w:rFonts w:ascii="Times New Roman" w:hAnsi="Times New Roman"/>
          <w:color w:val="auto"/>
          <w:sz w:val="28"/>
          <w:szCs w:val="28"/>
        </w:rPr>
        <w:t>ế hoạch toàn cầu về phòng, chống kháng thuốc; tháng 4/2016, Việt Nam đã cùng với Bộ Y tế của 14 nước khu vực châu Á Thái Bình Dương thông qua Tuyên bố chung Tokyo cam kết đẩy mạnh hoạt động này cùng với các nước trên khắp thế giới; các đối tác phát triển (Mỹ, Anh, Nhật Bản, Úc, Na Uy, Thụy Điển,…) cũng đã cam kết hỗ trợ các nước đang phát triển với mong muốn góp phần cùng các nước trong khu vực cũng như các nước Châu Á Thái Bình Dương đẩy mạnh hoạt đồng này.</w:t>
      </w:r>
    </w:p>
    <w:p w:rsidR="00B33AC4" w:rsidRDefault="00B33AC4" w:rsidP="00B33AC4">
      <w:pPr>
        <w:spacing w:after="120" w:line="276" w:lineRule="auto"/>
        <w:jc w:val="both"/>
        <w:rPr>
          <w:rFonts w:ascii="Times New Roman" w:hAnsi="Times New Roman"/>
          <w:color w:val="auto"/>
          <w:sz w:val="28"/>
          <w:szCs w:val="28"/>
        </w:rPr>
      </w:pPr>
      <w:r>
        <w:rPr>
          <w:rFonts w:ascii="Times New Roman" w:hAnsi="Times New Roman"/>
          <w:color w:val="auto"/>
          <w:sz w:val="28"/>
          <w:szCs w:val="28"/>
        </w:rPr>
        <w:t xml:space="preserve">Tháng 9 năm 2016, tại New York lần đầu tiên Lãnh đạo các nước của Liên Hiệp Quốc đã cam kết phối hợp đa ngành ngăn chặn nguy cơ kháng thuốc đặc biệt trong y tế và trong nông nghiệp.  </w:t>
      </w:r>
    </w:p>
    <w:p w:rsidR="00B33AC4" w:rsidRDefault="00B33AC4" w:rsidP="00B33AC4">
      <w:pPr>
        <w:pStyle w:val="BodyText"/>
        <w:spacing w:before="120" w:line="276" w:lineRule="auto"/>
        <w:jc w:val="both"/>
        <w:rPr>
          <w:rFonts w:ascii="Times New Roman" w:hAnsi="Times New Roman"/>
          <w:color w:val="auto"/>
          <w:sz w:val="28"/>
          <w:szCs w:val="28"/>
          <w:lang w:val="en-US"/>
        </w:rPr>
      </w:pPr>
      <w:r>
        <w:rPr>
          <w:rFonts w:ascii="Times New Roman" w:hAnsi="Times New Roman"/>
          <w:color w:val="auto"/>
          <w:sz w:val="28"/>
          <w:szCs w:val="28"/>
        </w:rPr>
        <w:t xml:space="preserve">Hôm nay, </w:t>
      </w:r>
      <w:r>
        <w:rPr>
          <w:rFonts w:ascii="Times New Roman" w:hAnsi="Times New Roman"/>
          <w:color w:val="auto"/>
          <w:sz w:val="28"/>
          <w:szCs w:val="28"/>
          <w:lang w:val="en-US"/>
        </w:rPr>
        <w:t>Bộ Y tế, Bộ Nông nghiệp và Phát triển nông thôn, Bộ Công thương, Bộ Tài nguyên và Môi trường, UBND Thành phố Hà Nội và các đối tác phát triển tại Việt Nam tổ chức Lễ mít tinh hưởng ứng tuần lễ truyền thông về phòng chống kháng thuốc trên thế giới. Đây là hoạt động quan trọng, thiết thực để thúc đẩy mạnh mẽ hơn nữa công cuộc phòng chống kháng thuốc ở Việt Nam.</w:t>
      </w:r>
    </w:p>
    <w:p w:rsidR="00B33AC4" w:rsidRDefault="00B33AC4" w:rsidP="00B33AC4">
      <w:pPr>
        <w:pStyle w:val="BodyText"/>
        <w:spacing w:before="12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 xml:space="preserve">Nhân dịp này, Bộ Y tế xin trân trọng cảm ơn các Bộ, Ban ngành Trung ương và địa phương, UBND Thành phố Hà Nội, Tổ chức y tế thế giới, các tổ chức quốc tế, chính phủ và các đối tác phát triển trong thời gian qua đã phối hợp, hợp tác và giúp đỡ Bộ </w:t>
      </w:r>
      <w:r>
        <w:rPr>
          <w:rFonts w:ascii="Times New Roman" w:hAnsi="Times New Roman"/>
          <w:color w:val="auto"/>
          <w:sz w:val="28"/>
          <w:szCs w:val="28"/>
          <w:lang w:val="en-US"/>
        </w:rPr>
        <w:lastRenderedPageBreak/>
        <w:t>Y tế, đặc biệt đã dành thời gian tham dự Lễ mít tinh về phòng chống kháng thuốc ngày hôm nay.</w:t>
      </w:r>
    </w:p>
    <w:p w:rsidR="00B33AC4" w:rsidRDefault="00B33AC4" w:rsidP="00B33AC4">
      <w:pPr>
        <w:pStyle w:val="BodyText"/>
        <w:spacing w:before="12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Kính chúc các quý vị đại biểu sức khỏe hành phúc và thành công.</w:t>
      </w:r>
    </w:p>
    <w:p w:rsidR="00B33AC4" w:rsidRDefault="00B33AC4" w:rsidP="00B33AC4">
      <w:pPr>
        <w:pStyle w:val="BodyText"/>
        <w:spacing w:before="120" w:line="276" w:lineRule="auto"/>
        <w:jc w:val="both"/>
        <w:rPr>
          <w:rFonts w:ascii="Times New Roman" w:hAnsi="Times New Roman"/>
          <w:color w:val="auto"/>
          <w:sz w:val="28"/>
          <w:szCs w:val="28"/>
          <w:lang w:val="en-US"/>
        </w:rPr>
      </w:pPr>
      <w:r>
        <w:rPr>
          <w:rFonts w:ascii="Times New Roman" w:hAnsi="Times New Roman"/>
          <w:color w:val="auto"/>
          <w:sz w:val="28"/>
          <w:szCs w:val="28"/>
          <w:lang w:val="en-US"/>
        </w:rPr>
        <w:t>Xin trân trọng cảm ơn.</w:t>
      </w:r>
    </w:p>
    <w:p w:rsidR="00B33AC4" w:rsidRDefault="00B33AC4" w:rsidP="00B33AC4">
      <w:pPr>
        <w:spacing w:line="276" w:lineRule="auto"/>
        <w:jc w:val="both"/>
        <w:rPr>
          <w:rFonts w:ascii="Times New Roman" w:hAnsi="Times New Roman"/>
          <w:color w:val="auto"/>
          <w:sz w:val="28"/>
          <w:szCs w:val="28"/>
        </w:rPr>
      </w:pPr>
    </w:p>
    <w:p w:rsidR="00B33AC4" w:rsidRDefault="00B33AC4" w:rsidP="00B33AC4">
      <w:pPr>
        <w:jc w:val="both"/>
        <w:rPr>
          <w:color w:val="auto"/>
        </w:rPr>
      </w:pPr>
    </w:p>
    <w:p w:rsidR="00B33AC4" w:rsidRDefault="00B33AC4" w:rsidP="00B33AC4">
      <w:pPr>
        <w:jc w:val="both"/>
        <w:rPr>
          <w:color w:val="auto"/>
        </w:rPr>
      </w:pPr>
    </w:p>
    <w:p w:rsidR="00B33AC4" w:rsidRDefault="00B33AC4" w:rsidP="00B33AC4">
      <w:pPr>
        <w:jc w:val="both"/>
        <w:rPr>
          <w:color w:val="auto"/>
        </w:rPr>
      </w:pPr>
    </w:p>
    <w:p w:rsidR="00B33AC4" w:rsidRDefault="00B33AC4" w:rsidP="00B33AC4">
      <w:pPr>
        <w:jc w:val="both"/>
        <w:rPr>
          <w:rFonts w:ascii="Times New Roman" w:hAnsi="Times New Roman"/>
          <w:color w:val="auto"/>
          <w:sz w:val="28"/>
          <w:szCs w:val="28"/>
        </w:rPr>
      </w:pPr>
    </w:p>
    <w:p w:rsidR="00B33AC4" w:rsidRDefault="00B33AC4" w:rsidP="00B33AC4">
      <w:pPr>
        <w:jc w:val="both"/>
        <w:rPr>
          <w:color w:val="auto"/>
        </w:rPr>
      </w:pPr>
    </w:p>
    <w:p w:rsidR="00C36149" w:rsidRDefault="00C36149">
      <w:bookmarkStart w:id="0" w:name="_GoBack"/>
      <w:bookmarkEnd w:id="0"/>
    </w:p>
    <w:sectPr w:rsidR="00C36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C7"/>
    <w:rsid w:val="00B33AC4"/>
    <w:rsid w:val="00C36149"/>
    <w:rsid w:val="00C4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4FB03-6B7D-40AB-8292-19D10D24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3AC4"/>
    <w:pPr>
      <w:spacing w:after="0" w:line="300" w:lineRule="auto"/>
    </w:pPr>
    <w:rPr>
      <w:rFonts w:ascii="Century Schoolbook" w:eastAsia="MS PMincho" w:hAnsi="Century Schoolbook"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3AC4"/>
    <w:pPr>
      <w:spacing w:before="240" w:line="240" w:lineRule="auto"/>
      <w:jc w:val="center"/>
    </w:pPr>
    <w:rPr>
      <w:color w:val="262641"/>
      <w:spacing w:val="5"/>
      <w:kern w:val="28"/>
      <w:sz w:val="100"/>
      <w:szCs w:val="100"/>
      <w:lang w:val="x-none" w:eastAsia="x-none"/>
    </w:rPr>
  </w:style>
  <w:style w:type="character" w:customStyle="1" w:styleId="TitleChar">
    <w:name w:val="Title Char"/>
    <w:basedOn w:val="DefaultParagraphFont"/>
    <w:link w:val="Title"/>
    <w:rsid w:val="00B33AC4"/>
    <w:rPr>
      <w:rFonts w:ascii="Century Schoolbook" w:eastAsia="MS PMincho" w:hAnsi="Century Schoolbook" w:cs="Times New Roman"/>
      <w:color w:val="262641"/>
      <w:spacing w:val="5"/>
      <w:kern w:val="28"/>
      <w:sz w:val="100"/>
      <w:szCs w:val="100"/>
      <w:lang w:val="x-none" w:eastAsia="x-none"/>
    </w:rPr>
  </w:style>
  <w:style w:type="paragraph" w:styleId="BodyText">
    <w:name w:val="Body Text"/>
    <w:basedOn w:val="Normal"/>
    <w:link w:val="BodyTextChar"/>
    <w:semiHidden/>
    <w:unhideWhenUsed/>
    <w:rsid w:val="00B33AC4"/>
    <w:pPr>
      <w:spacing w:after="200"/>
    </w:pPr>
    <w:rPr>
      <w:szCs w:val="20"/>
      <w:lang w:val="x-none" w:eastAsia="x-none"/>
    </w:rPr>
  </w:style>
  <w:style w:type="character" w:customStyle="1" w:styleId="BodyTextChar">
    <w:name w:val="Body Text Char"/>
    <w:basedOn w:val="DefaultParagraphFont"/>
    <w:link w:val="BodyText"/>
    <w:semiHidden/>
    <w:rsid w:val="00B33AC4"/>
    <w:rPr>
      <w:rFonts w:ascii="Century Schoolbook" w:eastAsia="MS PMincho" w:hAnsi="Century Schoolbook" w:cs="Times New Roman"/>
      <w:color w:val="40404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4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THE TUNG</dc:creator>
  <cp:keywords/>
  <dc:description/>
  <cp:lastModifiedBy>NGUYEN THE TUNG</cp:lastModifiedBy>
  <cp:revision>3</cp:revision>
  <dcterms:created xsi:type="dcterms:W3CDTF">2016-11-30T00:50:00Z</dcterms:created>
  <dcterms:modified xsi:type="dcterms:W3CDTF">2016-11-30T00:50:00Z</dcterms:modified>
</cp:coreProperties>
</file>